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rPr>
          <w:rFonts w:asciiTheme="minorHAnsi" w:hAnsiTheme="minorHAnsi" w:eastAsiaTheme="majorEastAsia" w:cstheme="minorHAnsi"/>
          <w:b/>
          <w:bCs/>
          <w:kern w:val="0"/>
          <w:szCs w:val="21"/>
        </w:rPr>
      </w:pPr>
      <w:r>
        <w:rPr>
          <w:rFonts w:hint="eastAsia" w:cs="Calibri" w:asciiTheme="minorHAnsi" w:hAnsiTheme="minorHAnsi"/>
          <w:szCs w:val="21"/>
        </w:rPr>
        <w:t>项目主要包括三门核心课程，每周进行一门课程，以下课程内容供参考（实际内容以老师授课为准）：</w:t>
      </w:r>
    </w:p>
    <w:p>
      <w:pPr>
        <w:widowControl/>
        <w:spacing w:line="360" w:lineRule="auto"/>
        <w:ind w:firstLine="422" w:firstLineChars="200"/>
        <w:jc w:val="left"/>
        <w:rPr>
          <w:rFonts w:asciiTheme="minorHAnsi" w:hAnsiTheme="minorHAnsi" w:eastAsiaTheme="majorEastAsia" w:cstheme="minorHAnsi"/>
          <w:b/>
          <w:bCs/>
          <w:kern w:val="21"/>
          <w:szCs w:val="21"/>
        </w:rPr>
      </w:pPr>
      <w:r>
        <w:rPr>
          <w:rFonts w:hint="eastAsia" w:asciiTheme="minorHAnsi" w:hAnsiTheme="minorHAnsi" w:eastAsiaTheme="majorEastAsia" w:cstheme="minorHAnsi"/>
          <w:b/>
          <w:bCs/>
          <w:kern w:val="21"/>
          <w:szCs w:val="21"/>
        </w:rPr>
        <w:t>课程一：</w:t>
      </w:r>
      <w:r>
        <w:rPr>
          <w:rFonts w:hint="eastAsia" w:asciiTheme="minorHAnsi" w:hAnsiTheme="minorHAnsi" w:eastAsiaTheme="majorEastAsia" w:cstheme="minorHAnsi"/>
          <w:b/>
          <w:bCs/>
          <w:kern w:val="21"/>
          <w:szCs w:val="21"/>
          <w:u w:val="single"/>
        </w:rPr>
        <w:t>历史上的国际组织：等级制度与平等</w:t>
      </w:r>
      <w:r>
        <w:rPr>
          <w:rFonts w:hint="eastAsia" w:asciiTheme="minorHAnsi" w:hAnsiTheme="minorHAnsi" w:eastAsiaTheme="majorEastAsia" w:cstheme="minorHAnsi"/>
          <w:b/>
          <w:bCs/>
          <w:kern w:val="21"/>
          <w:szCs w:val="21"/>
        </w:rPr>
        <w:t xml:space="preserve"> </w:t>
      </w:r>
    </w:p>
    <w:p>
      <w:pPr>
        <w:widowControl/>
        <w:spacing w:line="360" w:lineRule="auto"/>
        <w:ind w:firstLine="420" w:firstLineChars="200"/>
        <w:jc w:val="left"/>
        <w:rPr>
          <w:rFonts w:asciiTheme="minorHAnsi" w:hAnsiTheme="minorHAnsi" w:eastAsiaTheme="majorEastAsia" w:cstheme="minorHAnsi"/>
          <w:kern w:val="21"/>
          <w:szCs w:val="21"/>
        </w:rPr>
      </w:pPr>
      <w:r>
        <w:rPr>
          <w:rFonts w:hint="eastAsia" w:asciiTheme="minorHAnsi" w:hAnsiTheme="minorHAnsi" w:eastAsiaTheme="majorEastAsia" w:cstheme="minorHAnsi"/>
          <w:kern w:val="21"/>
          <w:szCs w:val="21"/>
        </w:rPr>
        <w:t xml:space="preserve">本课程通过探索国际组织新旧等级制度形式的形成、产生和再生，来展现国际组织发展的历史背景。 </w:t>
      </w:r>
    </w:p>
    <w:p>
      <w:pPr>
        <w:widowControl/>
        <w:spacing w:line="360" w:lineRule="auto"/>
        <w:ind w:firstLine="420" w:firstLineChars="200"/>
        <w:jc w:val="left"/>
        <w:rPr>
          <w:rFonts w:asciiTheme="minorHAnsi" w:hAnsiTheme="minorHAnsi" w:eastAsiaTheme="majorEastAsia" w:cstheme="minorHAnsi"/>
          <w:kern w:val="21"/>
          <w:szCs w:val="21"/>
        </w:rPr>
      </w:pPr>
      <w:r>
        <w:rPr>
          <w:rFonts w:hint="eastAsia" w:asciiTheme="minorHAnsi" w:hAnsiTheme="minorHAnsi" w:eastAsiaTheme="majorEastAsia" w:cstheme="minorHAnsi"/>
          <w:kern w:val="21"/>
          <w:szCs w:val="21"/>
        </w:rPr>
        <w:t xml:space="preserve">尽管主权平等构成了当今国际体系的核心原则，但国际组织的日常运作仍体现出不同类型的等级制度。正如安理会常任理事国所证明的那样，成员国权力和权威的差异造成了成员国安排的不平衡。二战后，文明、种族和民族优越感的旧标准已被正式摒弃。国际组织已采用新的排序标准来评判国家，比如透过经济发展、法治、尊重人权和民主进步的视角。这些新旧层级逻辑揭示出，尽管有包容的原则和实践，但国际组织的治理既可能是等级性的，也可能是排他性的。 </w:t>
      </w:r>
    </w:p>
    <w:p>
      <w:pPr>
        <w:widowControl/>
        <w:spacing w:line="360" w:lineRule="auto"/>
        <w:ind w:firstLine="420" w:firstLineChars="200"/>
        <w:rPr>
          <w:rFonts w:asciiTheme="minorHAnsi" w:hAnsiTheme="minorHAnsi" w:eastAsiaTheme="majorEastAsia" w:cstheme="minorHAnsi"/>
          <w:kern w:val="21"/>
          <w:szCs w:val="21"/>
        </w:rPr>
      </w:pPr>
      <w:r>
        <w:rPr>
          <w:rFonts w:hint="eastAsia" w:asciiTheme="minorHAnsi" w:hAnsiTheme="minorHAnsi" w:eastAsiaTheme="majorEastAsia" w:cstheme="minorHAnsi"/>
          <w:kern w:val="21"/>
          <w:szCs w:val="21"/>
        </w:rPr>
        <w:t xml:space="preserve">课程将梳理19世纪末至今，国际组织从历史和理论层面所特有的新旧等级形式，并发掘在等级和平等共存的国际治理进程中，历史延续和变化的逻辑。了解以往的想法和实践，并关注它们所产生的可预见和不可预见的影响，有助于理解国际组织当前面临的挑战。 </w:t>
      </w:r>
    </w:p>
    <w:p>
      <w:pPr>
        <w:pStyle w:val="4"/>
        <w:widowControl/>
        <w:spacing w:line="360" w:lineRule="auto"/>
        <w:ind w:left="1260"/>
        <w:jc w:val="left"/>
        <w:rPr>
          <w:rFonts w:asciiTheme="minorHAnsi" w:hAnsiTheme="minorHAnsi" w:eastAsiaTheme="majorEastAsia" w:cstheme="minorHAnsi"/>
          <w:kern w:val="21"/>
          <w:szCs w:val="21"/>
        </w:rPr>
      </w:pPr>
      <w:r>
        <w:rPr>
          <w:rFonts w:asciiTheme="minorHAnsi" w:hAnsiTheme="minorHAnsi" w:eastAsiaTheme="majorEastAsia" w:cstheme="minorHAnsi"/>
          <w:kern w:val="21"/>
          <w:szCs w:val="21"/>
        </w:rPr>
        <w:t xml:space="preserve"> </w:t>
      </w:r>
    </w:p>
    <w:p>
      <w:pPr>
        <w:widowControl/>
        <w:spacing w:line="360" w:lineRule="auto"/>
        <w:ind w:firstLine="422" w:firstLineChars="200"/>
        <w:jc w:val="left"/>
        <w:rPr>
          <w:rFonts w:asciiTheme="minorHAnsi" w:hAnsiTheme="minorHAnsi" w:eastAsiaTheme="majorEastAsia" w:cstheme="minorHAnsi"/>
          <w:b/>
          <w:bCs/>
          <w:kern w:val="21"/>
          <w:szCs w:val="21"/>
        </w:rPr>
      </w:pPr>
      <w:r>
        <w:rPr>
          <w:rFonts w:hint="eastAsia" w:asciiTheme="minorHAnsi" w:hAnsiTheme="minorHAnsi" w:eastAsiaTheme="majorEastAsia" w:cstheme="minorHAnsi"/>
          <w:b/>
          <w:bCs/>
          <w:kern w:val="21"/>
          <w:szCs w:val="21"/>
        </w:rPr>
        <w:t>课程二：</w:t>
      </w:r>
      <w:r>
        <w:rPr>
          <w:rFonts w:hint="eastAsia" w:asciiTheme="minorHAnsi" w:hAnsiTheme="minorHAnsi" w:eastAsiaTheme="majorEastAsia" w:cstheme="minorHAnsi"/>
          <w:b/>
          <w:bCs/>
          <w:kern w:val="21"/>
          <w:szCs w:val="21"/>
          <w:u w:val="single"/>
        </w:rPr>
        <w:t>全球治理中的非政府组织部门</w:t>
      </w:r>
      <w:r>
        <w:rPr>
          <w:rFonts w:hint="eastAsia" w:asciiTheme="minorHAnsi" w:hAnsiTheme="minorHAnsi" w:eastAsiaTheme="majorEastAsia" w:cstheme="minorHAnsi"/>
          <w:b/>
          <w:bCs/>
          <w:kern w:val="21"/>
          <w:szCs w:val="21"/>
        </w:rPr>
        <w:t xml:space="preserve"> </w:t>
      </w:r>
    </w:p>
    <w:p>
      <w:pPr>
        <w:widowControl/>
        <w:spacing w:line="360" w:lineRule="auto"/>
        <w:ind w:firstLine="420" w:firstLineChars="200"/>
        <w:jc w:val="left"/>
        <w:rPr>
          <w:rFonts w:asciiTheme="minorHAnsi" w:hAnsiTheme="minorHAnsi" w:eastAsiaTheme="majorEastAsia" w:cstheme="minorHAnsi"/>
          <w:kern w:val="21"/>
          <w:szCs w:val="21"/>
        </w:rPr>
      </w:pPr>
      <w:r>
        <w:rPr>
          <w:rFonts w:hint="eastAsia" w:asciiTheme="minorHAnsi" w:hAnsiTheme="minorHAnsi" w:eastAsiaTheme="majorEastAsia" w:cstheme="minorHAnsi"/>
          <w:kern w:val="21"/>
          <w:szCs w:val="21"/>
        </w:rPr>
        <w:t>在国际秩序中，非政府部门</w:t>
      </w:r>
      <w:r>
        <w:rPr>
          <w:rFonts w:asciiTheme="minorHAnsi" w:hAnsiTheme="minorHAnsi" w:eastAsiaTheme="majorEastAsia" w:cstheme="minorHAnsi"/>
          <w:kern w:val="21"/>
          <w:szCs w:val="21"/>
        </w:rPr>
        <w:t xml:space="preserve"> </w:t>
      </w:r>
      <w:r>
        <w:rPr>
          <w:rFonts w:hint="eastAsia" w:asciiTheme="minorHAnsi" w:hAnsiTheme="minorHAnsi" w:eastAsiaTheme="majorEastAsia" w:cstheme="minorHAnsi"/>
          <w:kern w:val="21"/>
          <w:szCs w:val="21"/>
        </w:rPr>
        <w:t>-</w:t>
      </w:r>
      <w:r>
        <w:rPr>
          <w:rFonts w:asciiTheme="minorHAnsi" w:hAnsiTheme="minorHAnsi" w:eastAsiaTheme="majorEastAsia" w:cstheme="minorHAnsi"/>
          <w:kern w:val="21"/>
          <w:szCs w:val="21"/>
        </w:rPr>
        <w:t xml:space="preserve"> </w:t>
      </w:r>
      <w:r>
        <w:rPr>
          <w:rFonts w:hint="eastAsia" w:asciiTheme="minorHAnsi" w:hAnsiTheme="minorHAnsi" w:eastAsiaTheme="majorEastAsia" w:cstheme="minorHAnsi"/>
          <w:kern w:val="21"/>
          <w:szCs w:val="21"/>
        </w:rPr>
        <w:t>包括非政府组织和其他私人慈善组织，以及跨国公司 和媒体 -</w:t>
      </w:r>
      <w:r>
        <w:rPr>
          <w:rFonts w:asciiTheme="minorHAnsi" w:hAnsiTheme="minorHAnsi" w:eastAsiaTheme="majorEastAsia" w:cstheme="minorHAnsi"/>
          <w:kern w:val="21"/>
          <w:szCs w:val="21"/>
        </w:rPr>
        <w:t xml:space="preserve"> </w:t>
      </w:r>
      <w:r>
        <w:rPr>
          <w:rFonts w:hint="eastAsia" w:asciiTheme="minorHAnsi" w:hAnsiTheme="minorHAnsi" w:eastAsiaTheme="majorEastAsia" w:cstheme="minorHAnsi"/>
          <w:kern w:val="21"/>
          <w:szCs w:val="21"/>
        </w:rPr>
        <w:t>正在发挥日益重要的作用。这些组织所受到的监管远少于政府部门，但在许多方面，它们的行为方式却与国家类似: 它们结成联盟，但彼此竞争;</w:t>
      </w:r>
      <w:r>
        <w:rPr>
          <w:rFonts w:asciiTheme="minorHAnsi" w:hAnsiTheme="minorHAnsi" w:eastAsiaTheme="majorEastAsia" w:cstheme="minorHAnsi"/>
          <w:kern w:val="21"/>
          <w:szCs w:val="21"/>
        </w:rPr>
        <w:t xml:space="preserve"> </w:t>
      </w:r>
      <w:r>
        <w:rPr>
          <w:rFonts w:hint="eastAsia" w:asciiTheme="minorHAnsi" w:hAnsiTheme="minorHAnsi" w:eastAsiaTheme="majorEastAsia" w:cstheme="minorHAnsi"/>
          <w:kern w:val="21"/>
          <w:szCs w:val="21"/>
        </w:rPr>
        <w:t>他们代表着利益集团，却在很大程度上保持独立运作;</w:t>
      </w:r>
      <w:r>
        <w:rPr>
          <w:rFonts w:asciiTheme="minorHAnsi" w:hAnsiTheme="minorHAnsi" w:eastAsiaTheme="majorEastAsia" w:cstheme="minorHAnsi"/>
          <w:kern w:val="21"/>
          <w:szCs w:val="21"/>
        </w:rPr>
        <w:t xml:space="preserve"> </w:t>
      </w:r>
      <w:r>
        <w:rPr>
          <w:rFonts w:hint="eastAsia" w:asciiTheme="minorHAnsi" w:hAnsiTheme="minorHAnsi" w:eastAsiaTheme="majorEastAsia" w:cstheme="minorHAnsi"/>
          <w:kern w:val="21"/>
          <w:szCs w:val="21"/>
        </w:rPr>
        <w:t xml:space="preserve">他们可以与联合国一起行动，但在联大或安理会均没有常驻代表。 </w:t>
      </w:r>
    </w:p>
    <w:p>
      <w:pPr>
        <w:widowControl/>
        <w:spacing w:line="360" w:lineRule="auto"/>
        <w:ind w:firstLine="420" w:firstLineChars="200"/>
        <w:jc w:val="left"/>
        <w:rPr>
          <w:rFonts w:asciiTheme="minorHAnsi" w:hAnsiTheme="minorHAnsi" w:eastAsiaTheme="majorEastAsia" w:cstheme="minorHAnsi"/>
          <w:kern w:val="21"/>
          <w:szCs w:val="21"/>
        </w:rPr>
      </w:pPr>
      <w:r>
        <w:rPr>
          <w:rFonts w:hint="eastAsia" w:asciiTheme="minorHAnsi" w:hAnsiTheme="minorHAnsi" w:eastAsiaTheme="majorEastAsia" w:cstheme="minorHAnsi"/>
          <w:kern w:val="21"/>
          <w:szCs w:val="21"/>
        </w:rPr>
        <w:t xml:space="preserve">课程将探讨非政府组织部门，并研究它如何适应以国家为中心的国际秩序。在开篇讲座中，课程将探索国际秩序如何演进，为非政府组织创造出工作空间。随后，讲座内容将涉及非政府组织如何成为国际舞台上的主要参与者，以及非政府组织究竟比国家更有效还是更低效。此外，课程还会讨论非政府组织能否建立有效的和平，对非洲非政府组织进行案例研究，以全面审视非政府组织究竟在削弱还是加强全球治理问题。 </w:t>
      </w:r>
    </w:p>
    <w:p>
      <w:pPr>
        <w:pStyle w:val="4"/>
        <w:widowControl/>
        <w:spacing w:line="360" w:lineRule="auto"/>
        <w:ind w:left="1260"/>
        <w:jc w:val="left"/>
        <w:rPr>
          <w:rFonts w:asciiTheme="minorHAnsi" w:hAnsiTheme="minorHAnsi" w:eastAsiaTheme="majorEastAsia" w:cstheme="minorHAnsi"/>
          <w:kern w:val="21"/>
          <w:szCs w:val="21"/>
        </w:rPr>
      </w:pPr>
      <w:r>
        <w:rPr>
          <w:rFonts w:asciiTheme="minorHAnsi" w:hAnsiTheme="minorHAnsi" w:eastAsiaTheme="majorEastAsia" w:cstheme="minorHAnsi"/>
          <w:kern w:val="21"/>
          <w:szCs w:val="21"/>
        </w:rPr>
        <w:t xml:space="preserve"> </w:t>
      </w:r>
    </w:p>
    <w:p>
      <w:pPr>
        <w:widowControl/>
        <w:spacing w:line="360" w:lineRule="auto"/>
        <w:ind w:firstLine="422" w:firstLineChars="200"/>
        <w:jc w:val="left"/>
        <w:rPr>
          <w:rFonts w:asciiTheme="minorHAnsi" w:hAnsiTheme="minorHAnsi" w:eastAsiaTheme="majorEastAsia" w:cstheme="minorHAnsi"/>
          <w:kern w:val="21"/>
          <w:szCs w:val="21"/>
        </w:rPr>
      </w:pPr>
      <w:r>
        <w:rPr>
          <w:rFonts w:hint="eastAsia" w:asciiTheme="minorHAnsi" w:hAnsiTheme="minorHAnsi" w:eastAsiaTheme="majorEastAsia" w:cstheme="minorHAnsi"/>
          <w:b/>
          <w:bCs/>
          <w:kern w:val="21"/>
          <w:szCs w:val="21"/>
        </w:rPr>
        <w:t>课程三：</w:t>
      </w:r>
      <w:r>
        <w:rPr>
          <w:rFonts w:hint="eastAsia" w:asciiTheme="minorHAnsi" w:hAnsiTheme="minorHAnsi" w:eastAsiaTheme="majorEastAsia" w:cstheme="minorHAnsi"/>
          <w:b/>
          <w:bCs/>
          <w:kern w:val="21"/>
          <w:szCs w:val="21"/>
          <w:u w:val="single"/>
        </w:rPr>
        <w:t xml:space="preserve">国际法律秩序与合作 </w:t>
      </w:r>
    </w:p>
    <w:p>
      <w:pPr>
        <w:widowControl/>
        <w:spacing w:line="360" w:lineRule="auto"/>
        <w:ind w:firstLine="420" w:firstLineChars="200"/>
        <w:jc w:val="left"/>
        <w:rPr>
          <w:rFonts w:asciiTheme="minorHAnsi" w:hAnsiTheme="minorHAnsi" w:eastAsiaTheme="majorEastAsia" w:cstheme="minorHAnsi"/>
          <w:kern w:val="21"/>
          <w:szCs w:val="21"/>
        </w:rPr>
      </w:pPr>
      <w:r>
        <w:rPr>
          <w:rFonts w:hint="eastAsia" w:asciiTheme="minorHAnsi" w:hAnsiTheme="minorHAnsi" w:eastAsiaTheme="majorEastAsia" w:cstheme="minorHAnsi"/>
          <w:kern w:val="21"/>
          <w:szCs w:val="21"/>
        </w:rPr>
        <w:t>课程旨在根据国际合作，批判性地探讨国际法律秩序，并思考国家和联合国系统在这种法律秩序中的作用。主要内容涉及国际法和国际合作、国际法的来源/证据、联合国系统的法律架构、集体安全和动用武力、强制性人道主义干预、关于国际法</w:t>
      </w:r>
      <w:bookmarkStart w:id="0" w:name="_GoBack"/>
      <w:bookmarkEnd w:id="0"/>
      <w:r>
        <w:rPr>
          <w:rFonts w:hint="eastAsia" w:asciiTheme="minorHAnsi" w:hAnsiTheme="minorHAnsi" w:eastAsiaTheme="majorEastAsia" w:cstheme="minorHAnsi"/>
          <w:kern w:val="21"/>
          <w:szCs w:val="21"/>
        </w:rPr>
        <w:t xml:space="preserve">律秩序与合作的思考等等。 </w:t>
      </w:r>
    </w:p>
    <w:p>
      <w:pPr>
        <w:spacing w:line="360" w:lineRule="auto"/>
        <w:ind w:firstLine="420"/>
        <w:rPr>
          <w:rFonts w:cs="Calibri" w:asciiTheme="minorHAnsi" w:hAnsiTheme="minorHAnsi"/>
          <w:szCs w:val="21"/>
        </w:rPr>
      </w:pPr>
    </w:p>
    <w:p>
      <w:pPr>
        <w:spacing w:line="360" w:lineRule="auto"/>
        <w:ind w:firstLine="420"/>
        <w:rPr>
          <w:rFonts w:cs="Calibri" w:asciiTheme="minorHAnsi" w:hAnsiTheme="minorHAnsi"/>
          <w:szCs w:val="21"/>
        </w:rPr>
      </w:pPr>
      <w:r>
        <w:rPr>
          <w:rFonts w:hint="eastAsia" w:cs="Calibri" w:asciiTheme="minorHAnsi" w:hAnsiTheme="minorHAnsi"/>
          <w:szCs w:val="21"/>
        </w:rPr>
        <w:t>此外，项目每周还将安排一次嘉宾讲座，邀请业内专家与学生分享前往国际组织就职的工作机遇。</w:t>
      </w:r>
    </w:p>
    <w:p>
      <w:pPr>
        <w:spacing w:line="360" w:lineRule="auto"/>
        <w:ind w:firstLine="420"/>
        <w:rPr>
          <w:rFonts w:cs="Calibri" w:asciiTheme="minorHAnsi" w:hAnsiTheme="minorHAnsi"/>
          <w:szCs w:val="21"/>
        </w:rPr>
      </w:pP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师资介绍</w:t>
      </w:r>
      <w:r>
        <w:rPr>
          <w:rFonts w:cs="Calibri" w:asciiTheme="minorHAnsi" w:hAnsiTheme="minorHAnsi"/>
          <w:szCs w:val="21"/>
        </w:rPr>
        <w:t>】</w:t>
      </w:r>
      <w:r>
        <w:rPr>
          <w:rFonts w:hint="eastAsia" w:cs="Calibri" w:asciiTheme="minorHAnsi" w:hAnsiTheme="minorHAnsi"/>
          <w:szCs w:val="21"/>
        </w:rPr>
        <w:t>（以下为2020暑期项目授课老师，2021寒假项目授课老师以剑桥大学实际安排为准）</w:t>
      </w:r>
    </w:p>
    <w:p>
      <w:pPr>
        <w:spacing w:line="360" w:lineRule="auto"/>
        <w:rPr>
          <w:rFonts w:cs="Calibri" w:asciiTheme="minorHAnsi" w:hAnsiTheme="minorHAnsi"/>
          <w:szCs w:val="21"/>
        </w:rPr>
      </w:pPr>
    </w:p>
    <w:p>
      <w:pPr>
        <w:spacing w:line="360" w:lineRule="auto"/>
        <w:rPr>
          <w:rFonts w:cs="Calibri" w:asciiTheme="minorHAnsi" w:hAnsiTheme="minorHAnsi"/>
          <w:b/>
          <w:bCs/>
          <w:szCs w:val="21"/>
        </w:rPr>
      </w:pPr>
      <w:r>
        <w:rPr>
          <w:b/>
          <w:bCs/>
        </w:rPr>
        <w:drawing>
          <wp:anchor distT="0" distB="0" distL="114300" distR="114300" simplePos="0" relativeHeight="251665408" behindDoc="0" locked="0" layoutInCell="1" allowOverlap="1">
            <wp:simplePos x="0" y="0"/>
            <wp:positionH relativeFrom="column">
              <wp:posOffset>-25400</wp:posOffset>
            </wp:positionH>
            <wp:positionV relativeFrom="paragraph">
              <wp:posOffset>47625</wp:posOffset>
            </wp:positionV>
            <wp:extent cx="1238250" cy="1602740"/>
            <wp:effectExtent l="0" t="0" r="0" b="1651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238250" cy="1602740"/>
                    </a:xfrm>
                    <a:prstGeom prst="rect">
                      <a:avLst/>
                    </a:prstGeom>
                  </pic:spPr>
                </pic:pic>
              </a:graphicData>
            </a:graphic>
          </wp:anchor>
        </w:drawing>
      </w:r>
      <w:r>
        <w:rPr>
          <w:rFonts w:hint="eastAsia" w:cs="Calibri" w:asciiTheme="minorHAnsi" w:hAnsiTheme="minorHAnsi"/>
          <w:b/>
          <w:bCs/>
          <w:szCs w:val="21"/>
        </w:rPr>
        <w:t>课程一：Maja Spanu博士</w:t>
      </w:r>
      <w:r>
        <w:rPr>
          <w:rFonts w:hint="eastAsia" w:cs="Calibri" w:asciiTheme="minorHAnsi" w:hAnsiTheme="minorHAnsi"/>
          <w:szCs w:val="21"/>
        </w:rPr>
        <w:t>，</w:t>
      </w:r>
      <w:r>
        <w:rPr>
          <w:rFonts w:hint="eastAsia" w:cs="Calibri" w:asciiTheme="minorHAnsi" w:hAnsiTheme="minorHAnsi"/>
          <w:b/>
          <w:bCs/>
          <w:szCs w:val="21"/>
        </w:rPr>
        <w:t>剑桥大学哈默顿学院（Homerton College）研究员</w:t>
      </w:r>
    </w:p>
    <w:p>
      <w:pPr>
        <w:spacing w:line="360" w:lineRule="auto"/>
        <w:rPr>
          <w:rFonts w:cs="Calibri" w:asciiTheme="minorHAnsi" w:hAnsiTheme="minorHAnsi"/>
          <w:szCs w:val="21"/>
        </w:rPr>
      </w:pPr>
      <w:r>
        <w:rPr>
          <w:rFonts w:hint="eastAsia" w:cs="Calibri" w:asciiTheme="minorHAnsi" w:hAnsiTheme="minorHAnsi"/>
          <w:szCs w:val="21"/>
        </w:rPr>
        <w:t>个人背景：拥有欧洲大学研究院社会和政治学博士学位，以及法国巴黎政治大学的国际关系和政治科学双硕士学位，并曾在巴黎政治大学任教。目前还同时担任剑桥大学国际关系与历史工作小组的联合创始人和召集人，主要研究方向包括国际关系、20世纪国际史正义和全</w:t>
      </w:r>
    </w:p>
    <w:p>
      <w:pPr>
        <w:spacing w:line="360" w:lineRule="auto"/>
        <w:ind w:firstLine="2100" w:firstLineChars="1000"/>
        <w:rPr>
          <w:rFonts w:cs="Calibri" w:asciiTheme="minorHAnsi" w:hAnsiTheme="minorHAnsi"/>
          <w:szCs w:val="21"/>
        </w:rPr>
      </w:pPr>
      <w:r>
        <w:rPr>
          <w:rFonts w:hint="eastAsia" w:cs="Calibri" w:asciiTheme="minorHAnsi" w:hAnsiTheme="minorHAnsi"/>
          <w:szCs w:val="21"/>
        </w:rPr>
        <w:t>球等级制度等。</w:t>
      </w:r>
    </w:p>
    <w:p>
      <w:pPr>
        <w:spacing w:line="360" w:lineRule="auto"/>
        <w:rPr>
          <w:rFonts w:cs="Calibri" w:asciiTheme="minorHAnsi" w:hAnsiTheme="minorHAnsi"/>
          <w:szCs w:val="21"/>
        </w:rPr>
      </w:pPr>
    </w:p>
    <w:p>
      <w:pPr>
        <w:spacing w:line="360" w:lineRule="auto"/>
        <w:rPr>
          <w:rFonts w:cs="Calibri" w:asciiTheme="minorHAnsi" w:hAnsiTheme="minorHAnsi"/>
          <w:szCs w:val="21"/>
        </w:rPr>
      </w:pPr>
    </w:p>
    <w:p>
      <w:pPr>
        <w:spacing w:line="360" w:lineRule="auto"/>
        <w:rPr>
          <w:rFonts w:cs="Calibri" w:asciiTheme="minorHAnsi" w:hAnsiTheme="minorHAnsi"/>
          <w:b/>
          <w:bCs/>
          <w:szCs w:val="21"/>
        </w:rPr>
      </w:pPr>
      <w:r>
        <w:rPr>
          <w:rFonts w:cs="Calibri" w:asciiTheme="minorHAnsi" w:hAnsiTheme="minorHAnsi"/>
          <w:b/>
          <w:bCs/>
          <w:szCs w:val="21"/>
        </w:rPr>
        <w:drawing>
          <wp:anchor distT="0" distB="0" distL="114300" distR="114300" simplePos="0" relativeHeight="251666432" behindDoc="0" locked="0" layoutInCell="1" allowOverlap="1">
            <wp:simplePos x="0" y="0"/>
            <wp:positionH relativeFrom="column">
              <wp:posOffset>0</wp:posOffset>
            </wp:positionH>
            <wp:positionV relativeFrom="paragraph">
              <wp:posOffset>81915</wp:posOffset>
            </wp:positionV>
            <wp:extent cx="1301750" cy="1434465"/>
            <wp:effectExtent l="0" t="0" r="12700" b="1333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1301750" cy="1434465"/>
                    </a:xfrm>
                    <a:prstGeom prst="rect">
                      <a:avLst/>
                    </a:prstGeom>
                  </pic:spPr>
                </pic:pic>
              </a:graphicData>
            </a:graphic>
          </wp:anchor>
        </w:drawing>
      </w:r>
      <w:r>
        <w:rPr>
          <w:rFonts w:hint="eastAsia" w:cs="Calibri" w:asciiTheme="minorHAnsi" w:hAnsiTheme="minorHAnsi"/>
          <w:b/>
          <w:bCs/>
          <w:szCs w:val="21"/>
        </w:rPr>
        <w:t>课程二：Ian Shields，剑桥大学政治学与国际研究系讲师</w:t>
      </w:r>
    </w:p>
    <w:p>
      <w:pPr>
        <w:spacing w:line="360" w:lineRule="auto"/>
        <w:rPr>
          <w:rFonts w:cs="Calibri" w:asciiTheme="minorHAnsi" w:hAnsiTheme="minorHAnsi"/>
          <w:szCs w:val="21"/>
        </w:rPr>
      </w:pPr>
      <w:r>
        <w:rPr>
          <w:rFonts w:hint="eastAsia" w:cs="Calibri" w:asciiTheme="minorHAnsi" w:hAnsiTheme="minorHAnsi"/>
          <w:szCs w:val="21"/>
        </w:rPr>
        <w:t xml:space="preserve">个人背景：在进入学术界之前，曾担任英国皇家空军的高级军官，在皇家空军服役了32年之久。退伍后，他曾在伦敦大学亚非学院、伯明翰大学和安格利亚鲁斯金大学等英国高等学府讲授国际关系课程。主要研究方向包括军政关系、全球化的影响、联合国和欧盟 </w:t>
      </w:r>
    </w:p>
    <w:p>
      <w:pPr>
        <w:spacing w:line="360" w:lineRule="auto"/>
        <w:rPr>
          <w:rFonts w:cs="Calibri" w:asciiTheme="minorHAnsi" w:hAnsiTheme="minorHAnsi"/>
          <w:szCs w:val="21"/>
        </w:rPr>
      </w:pPr>
      <w:r>
        <w:rPr>
          <w:rFonts w:hint="eastAsia" w:cs="Calibri" w:asciiTheme="minorHAnsi" w:hAnsiTheme="minorHAnsi"/>
          <w:szCs w:val="21"/>
        </w:rPr>
        <w:t>等机构的崛起等。</w:t>
      </w:r>
    </w:p>
    <w:p>
      <w:pPr>
        <w:spacing w:line="360" w:lineRule="auto"/>
        <w:rPr>
          <w:rFonts w:cs="Calibri" w:asciiTheme="minorHAnsi" w:hAnsiTheme="minorHAnsi"/>
          <w:szCs w:val="21"/>
        </w:rPr>
      </w:pPr>
    </w:p>
    <w:p>
      <w:pPr>
        <w:spacing w:line="360" w:lineRule="auto"/>
        <w:rPr>
          <w:rFonts w:cs="Calibri" w:asciiTheme="minorHAnsi" w:hAnsiTheme="minorHAnsi"/>
          <w:b/>
          <w:bCs/>
          <w:szCs w:val="21"/>
        </w:rPr>
      </w:pPr>
      <w:r>
        <w:drawing>
          <wp:anchor distT="0" distB="0" distL="114300" distR="114300" simplePos="0" relativeHeight="251667456" behindDoc="0" locked="0" layoutInCell="1" allowOverlap="1">
            <wp:simplePos x="0" y="0"/>
            <wp:positionH relativeFrom="column">
              <wp:posOffset>-15240</wp:posOffset>
            </wp:positionH>
            <wp:positionV relativeFrom="paragraph">
              <wp:posOffset>43815</wp:posOffset>
            </wp:positionV>
            <wp:extent cx="1317625" cy="1663700"/>
            <wp:effectExtent l="0" t="0" r="15875" b="1270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1317315" cy="1663700"/>
                    </a:xfrm>
                    <a:prstGeom prst="rect">
                      <a:avLst/>
                    </a:prstGeom>
                  </pic:spPr>
                </pic:pic>
              </a:graphicData>
            </a:graphic>
          </wp:anchor>
        </w:drawing>
      </w:r>
      <w:r>
        <w:rPr>
          <w:rFonts w:hint="eastAsia" w:cs="Calibri" w:asciiTheme="minorHAnsi" w:hAnsiTheme="minorHAnsi"/>
          <w:b/>
          <w:bCs/>
          <w:szCs w:val="21"/>
        </w:rPr>
        <w:t>课程三：Mark Retter博士，剑桥大学Lauterpacht国际法中心博士后研究员</w:t>
      </w:r>
    </w:p>
    <w:p>
      <w:pPr>
        <w:spacing w:line="360" w:lineRule="auto"/>
        <w:rPr>
          <w:rFonts w:cs="Calibri" w:asciiTheme="minorHAnsi" w:hAnsiTheme="minorHAnsi"/>
          <w:szCs w:val="21"/>
        </w:rPr>
      </w:pPr>
      <w:r>
        <w:rPr>
          <w:rFonts w:hint="eastAsia" w:cs="Calibri" w:asciiTheme="minorHAnsi" w:hAnsiTheme="minorHAnsi"/>
          <w:szCs w:val="21"/>
        </w:rPr>
        <w:t>个人背景：剑桥大学博士，专门从事国际法律秩序研究，同时负责指导剑桥大学法理学和国际公法专业的本科生。主要研究方向包括国际法历史与哲学；自然法哲学；冲突解决等。</w:t>
      </w:r>
    </w:p>
    <w:p>
      <w:pPr>
        <w:spacing w:line="360" w:lineRule="auto"/>
        <w:rPr>
          <w:rFonts w:cs="Calibri" w:asciiTheme="minorHAnsi" w:hAnsiTheme="minorHAnsi"/>
          <w:szCs w:val="21"/>
        </w:rPr>
      </w:pPr>
    </w:p>
    <w:p>
      <w:pPr>
        <w:spacing w:line="360" w:lineRule="auto"/>
        <w:rPr>
          <w:rFonts w:cs="Calibri" w:asciiTheme="minorHAnsi" w:hAnsiTheme="minorHAnsi"/>
          <w:szCs w:val="21"/>
        </w:rPr>
      </w:pP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spacing w:line="360" w:lineRule="auto"/>
        <w:ind w:firstLine="420" w:firstLineChars="200"/>
        <w:rPr>
          <w:rFonts w:cs="Calibri" w:asciiTheme="minorHAnsi" w:hAnsiTheme="minorHAnsi"/>
          <w:szCs w:val="21"/>
        </w:rPr>
      </w:pPr>
      <w:r>
        <w:rPr>
          <w:rFonts w:hint="eastAsia" w:asciiTheme="minorHAnsi" w:hAnsiTheme="minorHAnsi" w:eastAsiaTheme="majorEastAsia" w:cstheme="minorHAnsi"/>
          <w:szCs w:val="21"/>
        </w:rPr>
        <w:t>项目学生由</w:t>
      </w:r>
      <w:r>
        <w:rPr>
          <w:rFonts w:hint="eastAsia" w:cs="Calibri" w:asciiTheme="minorHAnsi" w:hAnsiTheme="minorHAnsi"/>
          <w:szCs w:val="21"/>
        </w:rPr>
        <w:t>剑桥</w:t>
      </w:r>
      <w:r>
        <w:rPr>
          <w:rFonts w:hint="eastAsia" w:asciiTheme="minorHAnsi" w:hAnsiTheme="minorHAnsi" w:eastAsiaTheme="majorEastAsia" w:cstheme="minorHAnsi"/>
          <w:szCs w:val="21"/>
        </w:rPr>
        <w:t>大学格顿学院进行统一的学术管理与学术考核，顺利完成学习后，学生将获得</w:t>
      </w:r>
      <w:r>
        <w:rPr>
          <w:rFonts w:hint="eastAsia" w:cs="Calibri" w:asciiTheme="minorHAnsi" w:hAnsiTheme="minorHAnsi"/>
          <w:szCs w:val="21"/>
        </w:rPr>
        <w:t>剑桥</w:t>
      </w:r>
      <w:r>
        <w:rPr>
          <w:rFonts w:hint="eastAsia" w:asciiTheme="minorHAnsi" w:hAnsiTheme="minorHAnsi" w:eastAsiaTheme="majorEastAsia" w:cstheme="minorHAnsi"/>
          <w:szCs w:val="21"/>
        </w:rPr>
        <w:t>大学格顿学院颁发的成绩单与项目证书</w:t>
      </w:r>
      <w:r>
        <w:rPr>
          <w:rFonts w:asciiTheme="minorHAnsi" w:hAnsiTheme="minorHAnsi" w:eastAsiaTheme="majorEastAsia" w:cs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drawing>
          <wp:anchor distT="0" distB="0" distL="114300" distR="114300" simplePos="0" relativeHeight="251668480" behindDoc="0" locked="0" layoutInCell="1" allowOverlap="1">
            <wp:simplePos x="0" y="0"/>
            <wp:positionH relativeFrom="column">
              <wp:posOffset>-12700</wp:posOffset>
            </wp:positionH>
            <wp:positionV relativeFrom="paragraph">
              <wp:posOffset>227965</wp:posOffset>
            </wp:positionV>
            <wp:extent cx="3989070" cy="2863850"/>
            <wp:effectExtent l="0" t="0" r="11430" b="1270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989070" cy="2863850"/>
                    </a:xfrm>
                    <a:prstGeom prst="rect">
                      <a:avLst/>
                    </a:prstGeom>
                  </pic:spPr>
                </pic:pic>
              </a:graphicData>
            </a:graphic>
          </wp:anchor>
        </w:drawing>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firstLine="420" w:firstLineChars="200"/>
        <w:jc w:val="left"/>
        <w:rPr>
          <w:rFonts w:asciiTheme="minorHAnsi" w:hAnsiTheme="minorHAnsi" w:eastAsiaTheme="majorEastAsia" w:cstheme="minorHAnsi"/>
          <w:szCs w:val="21"/>
        </w:rPr>
      </w:pPr>
    </w:p>
    <w:p>
      <w:pPr>
        <w:spacing w:line="360" w:lineRule="auto"/>
        <w:rPr>
          <w:rFonts w:cs="Calibri" w:asciiTheme="minorHAnsi" w:hAnsiTheme="minorHAnsi"/>
          <w:sz w:val="22"/>
          <w:szCs w:val="22"/>
        </w:rPr>
      </w:pPr>
      <w:r>
        <w:drawing>
          <wp:inline distT="0" distB="0" distL="0" distR="0">
            <wp:extent cx="3543300" cy="3220085"/>
            <wp:effectExtent l="0" t="0" r="0" b="184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3555613" cy="3231558"/>
                    </a:xfrm>
                    <a:prstGeom prst="rect">
                      <a:avLst/>
                    </a:prstGeom>
                  </pic:spPr>
                </pic:pic>
              </a:graphicData>
            </a:graphic>
          </wp:inline>
        </w:drawing>
      </w:r>
    </w:p>
    <w:p>
      <w:pPr>
        <w:spacing w:line="360" w:lineRule="auto"/>
        <w:rPr>
          <w:rFonts w:cs="Calibri" w:asciiTheme="minorHAnsi" w:hAnsiTheme="minorHAnsi"/>
          <w:sz w:val="22"/>
          <w:szCs w:val="22"/>
        </w:rPr>
      </w:pPr>
      <w:r>
        <w:rPr>
          <w:rFonts w:hint="eastAsia" w:cs="Calibri" w:asciiTheme="minorHAnsi" w:hAnsiTheme="minorHAnsi"/>
          <w:sz w:val="22"/>
          <w:szCs w:val="22"/>
        </w:rPr>
        <w:t>图：剑桥大学格顿学院项目证书与成绩单样图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140FD"/>
    <w:rsid w:val="5A9140FD"/>
    <w:rsid w:val="7175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2020-11-18T07:20:00Z</dcterms:created>
  <dc:creator>user</dc:creator>
  <cp:lastModifiedBy>user</cp:lastModifiedBy>
  <dcterms:modified xsi:type="dcterms:W3CDTF">2020-12-31T08:33:39Z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